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43" w:rsidRPr="00431F43" w:rsidRDefault="00431F43" w:rsidP="00431F43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242424"/>
          <w:spacing w:val="2"/>
          <w:sz w:val="16"/>
          <w:szCs w:val="16"/>
          <w:lang w:eastAsia="ru-RU"/>
        </w:rPr>
      </w:pPr>
    </w:p>
    <w:p w:rsidR="00431F43" w:rsidRDefault="00431F43" w:rsidP="00431F43">
      <w:pPr>
        <w:shd w:val="clear" w:color="auto" w:fill="FFFFFF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0"/>
          <w:szCs w:val="30"/>
          <w:lang w:eastAsia="ru-RU"/>
        </w:rPr>
      </w:pPr>
      <w:r w:rsidRPr="00431F43">
        <w:rPr>
          <w:rFonts w:ascii="Arial" w:eastAsia="Times New Roman" w:hAnsi="Arial" w:cs="Arial"/>
          <w:b/>
          <w:bCs/>
          <w:color w:val="2D2D2D"/>
          <w:spacing w:val="2"/>
          <w:kern w:val="36"/>
          <w:sz w:val="30"/>
          <w:szCs w:val="30"/>
          <w:lang w:eastAsia="ru-RU"/>
        </w:rPr>
        <w:t xml:space="preserve">О государственных гарантиях Новгородской области </w:t>
      </w:r>
    </w:p>
    <w:p w:rsidR="00431F43" w:rsidRPr="00431F43" w:rsidRDefault="00431F43" w:rsidP="00431F43">
      <w:pPr>
        <w:shd w:val="clear" w:color="auto" w:fill="FFFFFF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0"/>
          <w:szCs w:val="30"/>
          <w:lang w:eastAsia="ru-RU"/>
        </w:rPr>
      </w:pPr>
      <w:r w:rsidRPr="00431F43">
        <w:rPr>
          <w:rFonts w:ascii="Arial" w:eastAsia="Times New Roman" w:hAnsi="Arial" w:cs="Arial"/>
          <w:b/>
          <w:bCs/>
          <w:color w:val="2D2D2D"/>
          <w:spacing w:val="2"/>
          <w:kern w:val="36"/>
          <w:sz w:val="30"/>
          <w:szCs w:val="30"/>
          <w:lang w:eastAsia="ru-RU"/>
        </w:rPr>
        <w:t>(с изменениями на 4 апреля 2018 года)</w:t>
      </w:r>
    </w:p>
    <w:p w:rsidR="00431F43" w:rsidRPr="00431F43" w:rsidRDefault="00431F43" w:rsidP="00431F43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ЗАКОН</w:t>
      </w:r>
      <w:r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 </w:t>
      </w:r>
      <w:r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 НОВГОРОДСКОЙ ОБЛАСТИ </w:t>
      </w: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 </w:t>
      </w: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от</w:t>
      </w:r>
      <w:r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 xml:space="preserve"> 08 ноября 2010 года N 844-ОЗ</w:t>
      </w:r>
      <w:r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 </w:t>
      </w: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 </w:t>
      </w: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О государственных гарантиях Новгородской области</w:t>
      </w:r>
    </w:p>
    <w:p w:rsidR="00431F43" w:rsidRPr="00431F43" w:rsidRDefault="00431F43" w:rsidP="00431F43">
      <w:pPr>
        <w:shd w:val="clear" w:color="auto" w:fill="FFFFFF"/>
        <w:spacing w:line="280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(в редакции областных </w:t>
      </w:r>
      <w:hyperlink r:id="rId4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5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Постановлением</w:t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Новгородской областной Думы</w:t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27.10.2010 N 1572-ОД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Настоящий областной закон устанавливает порядок предоставления государственных гарантий Новгородской области.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Глава 1. Общие положения</w:t>
      </w:r>
    </w:p>
    <w:p w:rsid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1. Основные положения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Государственной гарантией Новгородской области (далее - гарантия) в целях настоящего областного закона признается вид долгового обязательства, в силу которого Новгородская область - (гарант) обязана при наступлении предусмотренного в гарантии события (гарантийного случая) уплатить лицу, в пользу которого предоставлена гарантия (далее - бенефициар),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отвечать за исполнение третьим лицом (далее - принципал) его обязательств перед бенефициаром.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Гарантия обеспечивает: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надлежащее исполнение принципалом его обязательства перед бенефициаром (основного обязательства);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возмещение ущерба, образовавшегося при наступлении гарантийного случая некоммерческого характера.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Гарантия может предоставляться в обеспечение обязательств юридических лиц и муниципальных образований Новгородской области (далее - претенденты) для обеспечения как уже возникших обязательств, так и обязательств, которые возникнут в будущем.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 Гарантия не предоставляется в части обеспечения исполнения обязатель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инципала по уплате штрафов, комиссий, пеней за просрочку погашения задолженности по кредиту (основному долгу) и за просрочку уплаты процентов.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5. Гарантия не может быть предоставлена в обеспечение исполнения обязательств: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юридического лица: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находящегося в стадии реорганизации, ликвидации или банкротства;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б) имеющего просроченную задолженность по денежным обязательствам перед Новгородской областью, по обязательным платежам в бюджетную систему Российской Федерации, а также неурегулированные обязательства по гарантиям, ранее предоставленным Новгородской области;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муниципального образования Новгородской области: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имеющего просроченную задолженность по денежным обязательствам перед Новгородской областью, по обязательным платежам в бюджетную систему Российской Федерации, а также неурегулированные обязательства по гарантиям, ранее предоставленным Новгородской области;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имеющего превышение предельных значений дефицита местного бюджета, предельных объемов муниципального долга и расходов по его обслуживанию.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6.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инципала, обеспеченных гарантией, но не более суммы, на которую выдана гарантия.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7. Общая сумма обязательств, вытекающих из гарантии, включается в состав государственного внутреннего долга области как вид долгового обязательства.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8. Предоставление и исполнение гарантии подлежит отражению в государственной долговой книге области.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2. Основания для предоставления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Областного </w:t>
      </w:r>
      <w:hyperlink r:id="rId6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имени Новгородской области предоставление гарантий осуществляется Правительством Новгородской области на основании областного закона об областном бюджете на очередной финансовый год и плановый период, правового акта Правительства Новгородской области, а также договора о предоставлении гарантии.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3. Программа государственных гарантий Новгородской области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Гарантия предоставляется в пределах общей суммы предоставления гарантий, установленной в программе государственных гарантий Новгородской области в валюте Российской Федерации (далее - программа гарантий), утвержденной областным законом об областном бюджете на очередной финансовый год и плановый период.</w:t>
      </w:r>
      <w:proofErr w:type="gramEnd"/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2. В программе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объем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которого превышает 10 миллионов рублей.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4. Правовой акт о предоставлении или об отказе в предоставлении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Решение о предоставлении или об отказе в предоставлении гарантии оформляется правовым актом Правительства Новгородской области.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7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В правовом акте Правительства Новгородской области о предоставлении гарантии указываются: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(в ред. Областного </w:t>
      </w:r>
      <w:hyperlink r:id="rId8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основания для выдачи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наименование принципала;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наименование бенефициара;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4) предельная сумма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5) направление (цель) гарантирования;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6) способ (способы) обеспечения обязатель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инципала по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7) вид ответственности (субсидиарная или солидарная) гаранта по обеспеченному им обязательству принципала.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В правовом акте Правительства Новгородской области об отказе в предоставлении гарантии указываются: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Областного </w:t>
      </w:r>
      <w:hyperlink r:id="rId9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наименование претендента;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основания для отказа в предоставлении гарантии.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5. Договор о предоставлении гарантии и гарантия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На основании правового акта о предоставлении гарантии Правительство Новгородской области заключает договор о предоставлении гарантии Новгородской области (далее - договор о предоставлении гарантии) с бенефициаром и принципалом в утвержденной Правительством Новгородской области форме.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10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В договоре о предоставлении гарантии и в гарантии указываются: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наименование гаранта (Новгородская область) и наименование органа, выдавшего гарантию от имени гаранта;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обязательство, в обеспечение которого выдается гарантия;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объем обязательств гаранта по гарантии и предельная сумма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4) определение гарантийного случая;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5) наименование принципала;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6) наименование бенефициара;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7) </w:t>
      </w:r>
      <w:proofErr w:type="spell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безотзывность</w:t>
      </w:r>
      <w:proofErr w:type="spell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гарантии или условия ее отзыва;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8) основания для выдачи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9) вступление в силу (дата выдачи)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10) срок действия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11) порядок исполнения гарантом обязательств по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12) порядок и условия сокращения предельной суммы гарантии при исполнении гарантии и (или) исполнения обязатель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инципала, обеспеченных гарантией;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13) наличие или отсутствие права требования гаранта к принципалу о возмещении сумм, уплаченных гарантом бенефициару по гарантии (регрессное требование гаранта к принципалу, регресс);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14) субсидиарная либо солидарная ответственность гаранта;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15) иные условия гарантии, а также сведения, определенные </w:t>
      </w:r>
      <w:hyperlink r:id="rId11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Бюджетным кодексом Российской Федерации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настоящим областным законом и правовыми актами Правительства Новгородской области.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Областного </w:t>
      </w:r>
      <w:hyperlink r:id="rId12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После заключения договора о предоставлении гарантии Правительством Новгородской области выдается гарантия в утвержденной ею форме.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13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Срок действия гарантии определяется условиями гарантии.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в сроки, указанные в требовании гаранта.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6. Договор об обеспечении принципалом обязательств по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 заключения договора о предоставлении гарантии Правительство Новгородской области заключает с принципалом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14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7. Способы обеспечения обязатель</w:t>
      </w:r>
      <w:proofErr w:type="gramStart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инципала по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Способами обеспечения исполнения регрессных обязательств по гарантии принципалом могут быть только банковские гарантии, поручительства, государственные и муниципальные гарантии, залог имущества (за исключением имущества организаций, собственником акций которых является Новгородская область, а также имущественных прав в виде долей в уставном капитале обществ) в размере не менее 100 процентов объема обязательств по гарантии.</w:t>
      </w:r>
      <w:proofErr w:type="gramEnd"/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Принципал, являющийся юридическим лицом с разделенным на доли (вклады) учредителей (участников) уставным (складочным) капиталом, в качестве дополнительного обеспечения </w:t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регрессных обязательств по гарантии предоставляет поручительства участников (акционеров), имеющих доли (акции) в размере не менее 25 процентов.</w:t>
      </w:r>
      <w:proofErr w:type="gramEnd"/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Обеспечение исполнения соответствующего обязательства должно иметь высокую степень ликвидности.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Оценка имущества, передаваемого в залог, осуществляется в соответствии с законодательством Российской Федерации. Предметом договора залога не может являться имущество, находящееся в собственности Новгородской области. Расходы, связанные с оформлением залога, оценкой и страхованием передаваемого в залог имущества, несет залогодатель.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4. Передаваемое в залог имущество должно быть застраховано от всех рисков утраты и повреждения на сумму не менее его рыночной стоимости с установлением в договоре в качестве </w:t>
      </w:r>
      <w:proofErr w:type="spell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выгодоприобретателя</w:t>
      </w:r>
      <w:proofErr w:type="spell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Правительства Новгородской области.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15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5.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 допускается принятие в качестве обеспечения исполнения обязательств юридического лица, муниципального образования государственных или муниципальных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денежным обязательствам перед областным бюджетом, а также поручительств и гарантий юридических лиц, величина чистых активов которых меньше величины, равной трехкратной сумме предоставляемой гарантии.</w:t>
      </w:r>
      <w:proofErr w:type="gramEnd"/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6. Оценка надежности (ликвидности) банковской гарантии, поручительства осуществляется министерством финансов Новгородской области в установленном им порядке.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областных </w:t>
      </w:r>
      <w:hyperlink r:id="rId16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17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8. Условия предоставления гарантий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Предоставление гарантии осуществляется при условии: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проведения анализа финансового состояния принципала;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предоставления принципалом обеспечения исполнения обязатель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отсутствия у принципала, его поручителей (гарантов) просроченной задолженности по денежным обязательствам перед Новгородской областью, по обязательным платежам в бюджетную систему Российской Федерации, а также неурегулированных обязательств по гарантиям, ранее предоставленным Новгородской области.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3. Гарантия в обеспечение обязательств муниципального образования может быть предоставлена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без предоставления им обеспечения исполнения обязательства по удовлетворению регрессного требования гаранта к принципалу в связи с исполнением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гарантии в случаях, если гарантия предоставляется: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1) по кредитам, привлеченным на погашение кредиторской задолженности;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иных случаях, установленных бюджетным законодательством Российской Федерации.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Глава 2. Порядок предоставления гарантий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9. Заявка на получение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Письменная заявка на получение гарантии с указанием ее размера, срока действия и целевого назначения, а также сведений о предполагаемом обеспечении исполнения регрессных обязательств перед гарантом при наступлении гарантийного случая направляется претендентом в Правительство Новгородской области.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18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К заявке прилагаются документы, перечень которых устанавливается Правительством Новгородской области (далее - перечень).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19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Заявка претендента и прилагаемые к ней документы направляются Правительством Новгородской области в течение 5 рабочих дней в министерство финансов Новгородской области в целях: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областных </w:t>
      </w:r>
      <w:hyperlink r:id="rId20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21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проверки соответствия представленных документов перечню;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проведения анализа финансового состояния претендента в порядке, установленном министерством финансов Новгородской области;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областных </w:t>
      </w:r>
      <w:hyperlink r:id="rId22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23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направления представленных документов: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в орган исполнительной власти области, осуществляющий функции по регулированию деятельности в соответствующей отрасли (далее - отраслевой орган) - для подготовки заключения об обоснованности предоставления гарантии;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б)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уполномоченный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Правительством Новгородской области орган исполнительной власти области (далее - уполномоченный орган) - для подготовки заключения о результатах оценки социально-экономической значимости и бюджетной эффективности реализации инвестиционного проекта на территории области при предоставлении гарантии на цели, связанные с реализацией инвестиционных проектов.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Областного </w:t>
      </w:r>
      <w:hyperlink r:id="rId24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10. Проверка документов на предоставление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Министерство финансов Новгородской области: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областных </w:t>
      </w:r>
      <w:hyperlink r:id="rId25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26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1) осуществляет проверку представленных претендентом документов на соответствие их перечню и </w:t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при соответствии представленных документов перечню направляет их в отраслевой орган и уполномоченный орган в течение 3 рабочих дней после получения документов;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возвращает претенденту документы при их несоответствии перечню в течение 3 рабочих дней после получения документов;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проводит анализ финансового состояния претендента и готовит заключение о его финансовом состоянии в течение 14 рабочих дней при наличии документов, соответствующих перечню.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11. Заключение об обоснованности предоставления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Заключение об обоснованности предоставления гарантии выдается отраслевым органом на основе анализа документов, представленных министерством финансов Новгородской области в соответствии со статьей 9 настоящего областного закона, и направляется в министерство финансов Новгородской области в течение 14 рабочих дней.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областных </w:t>
      </w:r>
      <w:hyperlink r:id="rId27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28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случае отсутствия в представленных документах информации, подтверждающей расчеты объема инвестиционных вложений, объема запрашиваемой гарантии, срока окупаемости проекта, срока предоставления гарантии и (или) выявленных ошибках в этих расчетах, не позволяющих подготовить заключение об обоснованности предоставления гарантии, отраслевой орган в течение 3 рабочих дней после получения документов возвращает документы претенденту на доработку.</w:t>
      </w:r>
      <w:proofErr w:type="gramEnd"/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этом срок, установленный настоящей частью для подготовки заключения об обоснованности предоставления гарантии, прерывается до даты представления претендентом доработанных документов.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Заключение об обоснованности предоставления гарантии на цели, связанные с реализацией инвестиционных проектов, основывается на показателях бизнес-плана инвестиционного проекта.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Положительное заключение об обоснованности предоставления гарантии на цели, связанные с реализацией инвестиционных проектов, выдается в случаях, если: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период освоения капитальных вложений с момента получения кредитных ресурсов до получения первой партии готовой продукции составляет не более: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15 месяцев - в промышленности;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36 месяцев - в сельском хозяйстве и в жилищном строительстве;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18 месяцев - в прочих сферах деятельности;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простой срок окупаемости проекта составляет не более: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а) 36 месяцев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 даты получения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первой партии готовой продукции - в промышленности;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б) 60 месяцев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 даты получения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первой партии готовой продукции - в сельском хозяйстве;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36 месяцев - в жилищном строительстве;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г) 60 месяцев - в прочих сферах деятельности;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срок действия гарантии, определяемый условиями гарантии, не превышает: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а) 51 месяца - в промышленности;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96 месяцев - в сельском хозяйстве;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36 месяцев - в жилищном строительстве;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г) 60 месяцев - в прочих сферах деятельности;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4) объем запрашиваемой гарантии под реализацию инвестиционного проекта не превышает 80 процентов от стоимости проекта.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12. Заключение об оценке социально-экономической значимости и бюджетной эффективности реализации инвестиционного проекта на территории области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Заключение об оценке социально-экономической значимости и бюджетной эффективности реализации инвестиционного проекта на территории области выдается уполномоченным органом на основе анализа документов, представленных министерством финансов Новгородской области в соответствии со статьей 9 настоящего областного закона, и направляется в министерство финансов Новгородской области в течение 14 рабочих дней.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областных </w:t>
      </w:r>
      <w:hyperlink r:id="rId29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30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случае выявления противоречий в представленных документах и (или) их несоответствия установленным требованиям к содержанию или оформлению (наличие неполных или недостоверных сведений для расчета критериев социально-экономической значимости и бюджетной эффективности проекта) уполномоченный орган в течение 3 рабочих дней после получения документов возвращает документы претенденту на доработку.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этом срок, установленный настоящей статьей для подготовки заключения об оценке социально-экономической значимости и бюджетной эффективности реализации инвестиционного проекта на территории области, прерывается до даты представления претендентом доработанных документов.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Критериями оценки социально-экономической значимости инвестиционных проектов на территории области являются: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соответствие цели реализации инвестиционного проекта приоритетным направлениям развития области;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увеличение валового регионального продукта, в рамках реализации инвестиционного проекта;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дополнительное создание и (или) сохранение рабочих мест с уровнем заработной платы не ниже среднемесячной начисленной заработной платы одного работника (статистического показателя, характеризующего основные итоги социально-экономического положения Новгородской области) за период на последнюю отчетную дату, предшествующую дате подачи заявки на получение гарантии.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Критерием оценки бюджетной эффективности предоставления гарантии является коэффициент роста (</w:t>
      </w:r>
      <w:proofErr w:type="spellStart"/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K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роста</w:t>
      </w:r>
      <w:proofErr w:type="spell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налоговых поступлений в консолидированный бюджет Новгородской области. Коэффициент роста рассчитывается как отношение объема исчисленных налоговых поступлений с учетом реализации инвестиционного проекта за весь период действия гарантии к объему исчисленных налоговых поступлений за этот же период без учета реализации инвестиционного проекта.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4. Для признания инвестиционного проекта эффективным в целях предоставления гарантии </w:t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 xml:space="preserve">указанный показатель должен быть больше 1 (единицы). Инвестиционный проект, реализуемый вновь созданной организацией, признается уполномоченным органом </w:t>
      </w:r>
      <w:proofErr w:type="spell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бюджетно</w:t>
      </w:r>
      <w:proofErr w:type="spell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эффективным.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13. Заключение о целесообразности предоставления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Для решения вопросов о целесообразности предоставления гарантии Правительством Новгородской области создается постоянно действующая комиссия по отбору заявок юридических лиц и муниципальных образований на предоставление гарантий (далее - комиссия по отбору заявок).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Областного </w:t>
      </w:r>
      <w:hyperlink r:id="rId31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Заявка претендента с прилагаемыми к ней документами, положительными заключениями, указанными в статьях 11 и 12 настоящего областного закона, и положительным заключением по результатам анализа финансового состояния претендента направляется министерством финансов Новгородской области в течение 3 рабочих дней на рассмотрение комиссии по отбору заявок.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областных </w:t>
      </w:r>
      <w:hyperlink r:id="rId32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33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Комиссия по отбору заявок в течение 10 рабочих дней после поступления документов, указанных в части 2 настоящей статьи, рассматривает заявку претендента на получение гарантии и готовит заключение о целесообразности предоставления гарантии.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 Критериями целесообразности предоставления гарантии являются: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положительные заключения, указанные в статьях 10 - 12 настоящего областного закона;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положительная кредитная история претендента;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объем и ликвидность предложенного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4) надежность гарантии возврата заемных средств (уровень риска);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5) обоснование источников возврата заемных средств по обязательствам, в обеспечение которых выдается гарантия.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14. Принятие правового акта о предоставлении либо об отказе в предоставлении гарантии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При положительном заключении о целесообразности предоставления гарантии Правительство Новгородской области: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Областного </w:t>
      </w:r>
      <w:hyperlink r:id="rId34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вносит в областную Думу законопроект о внесении соответствующих изменений в областной закон об областном бюджете на очередной финансовый год и на плановый период;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после вступления в силу областного закона о внесении изменений в областной закон об областном бюджете на очередной финансовый год и на плановый период принимает правовой акт о предоставлении гарантии.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2. Правовой акт об отказе в предоставлении гарантии принимается Правительством Новгородской области в случаях: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Областного </w:t>
      </w:r>
      <w:hyperlink r:id="rId35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отрицательного заключения по результатам анализа финансового состояния претендента;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отрицательного заключения отраслевого органа об обоснованности предоставления гарантии и (или) уполномоченного органа об оценке социально-экономической значимости и бюджетной эффективности реализации инвестиционного проекта на территории области;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отрицательного заключения комиссии по отбору заявок о целесообразности предоставления гарантии.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15. Учет выданных гарантий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Министерство финансов Новгородской области ведет учет выданных гарантий, исполнения обязатель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ств пр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инципала, обеспеченных гарантиями, а также учет осуществления гарантом платежей по выданным гарантиям.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областных </w:t>
      </w:r>
      <w:hyperlink r:id="rId36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37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 xml:space="preserve">Глава 3. </w:t>
      </w:r>
      <w:proofErr w:type="gramStart"/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Контроль за</w:t>
      </w:r>
      <w:proofErr w:type="gramEnd"/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 xml:space="preserve"> соблюдением законодательства в сфере предоставления гарантий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 xml:space="preserve">Статья 16. </w:t>
      </w:r>
      <w:proofErr w:type="gramStart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Контроль за</w:t>
      </w:r>
      <w:proofErr w:type="gramEnd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 xml:space="preserve"> соблюдением законодательства в сфере предоставления гарантий, осуществляемый министерством финансов Новгородской области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областных </w:t>
      </w:r>
      <w:hyperlink r:id="rId38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законов Новгородской области от 29.07.2013 N 301-ОЗ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39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Министерство финансов Новгородской области осуществляет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соблюдением получателями гарантий условий их получения в порядке, установленном Правительством Новгородской области.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Областного </w:t>
      </w:r>
      <w:hyperlink r:id="rId40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закона Новгородской области от 04.04.2018 N 240-ОЗ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 xml:space="preserve">Статья 17. </w:t>
      </w:r>
      <w:proofErr w:type="gramStart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Контроль за</w:t>
      </w:r>
      <w:proofErr w:type="gramEnd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 xml:space="preserve"> соблюдением законодательства в сфере предоставления гарантий, осуществляемый Счетной палатой Новгородской области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Счетная палата Новгородской области в пределах своих полномочий осуществляет </w:t>
      </w:r>
      <w:proofErr w:type="gramStart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предоставлением гарантий, а также за соблюдением получателями гарантий условий их получения.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431F43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Глава 4. Заключительные положения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 xml:space="preserve">Статья 18. Признание </w:t>
      </w:r>
      <w:proofErr w:type="gramStart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утратившим</w:t>
      </w:r>
      <w:proofErr w:type="gramEnd"/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 xml:space="preserve"> силу областного закона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Признать утратившим силу </w:t>
      </w:r>
      <w:hyperlink r:id="rId41" w:history="1">
        <w:r w:rsidRPr="00431F43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областной закон от 14.12.2007 N 213-ОЗ "О предоставлении государственных гарантий Новгородской области"</w:t>
        </w:r>
      </w:hyperlink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(газета "Новгородские ведомости" от 20.12.2007).</w:t>
      </w:r>
    </w:p>
    <w:p w:rsid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lastRenderedPageBreak/>
        <w:t>Статья 19. Вступление в силу настоящего областного закона</w:t>
      </w:r>
    </w:p>
    <w:p w:rsidR="00431F43" w:rsidRPr="00431F43" w:rsidRDefault="00431F43" w:rsidP="00431F43">
      <w:pPr>
        <w:shd w:val="clear" w:color="auto" w:fill="FFFFFF"/>
        <w:spacing w:before="333" w:after="20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Настоящий областной закон вступает в силу через десять дней после его официального опубликования.</w:t>
      </w:r>
    </w:p>
    <w:p w:rsidR="00431F43" w:rsidRPr="00431F43" w:rsidRDefault="00431F43" w:rsidP="00431F43">
      <w:pPr>
        <w:shd w:val="clear" w:color="auto" w:fill="FFFFFF"/>
        <w:spacing w:line="28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Губернатор области</w:t>
      </w: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С.Г.МИТИН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Великий Новгород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8 ноября 2010 года</w:t>
      </w:r>
    </w:p>
    <w:p w:rsidR="00431F43" w:rsidRPr="00431F43" w:rsidRDefault="00431F43" w:rsidP="00431F43">
      <w:pPr>
        <w:shd w:val="clear" w:color="auto" w:fill="FFFFFF"/>
        <w:spacing w:line="280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431F43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N 844-ОЗ</w:t>
      </w:r>
    </w:p>
    <w:p w:rsidR="00995B00" w:rsidRDefault="00995B00"/>
    <w:sectPr w:rsidR="00995B00" w:rsidSect="00431F4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F43"/>
    <w:rsid w:val="00431F43"/>
    <w:rsid w:val="0099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00"/>
  </w:style>
  <w:style w:type="paragraph" w:styleId="1">
    <w:name w:val="heading 1"/>
    <w:basedOn w:val="a"/>
    <w:link w:val="10"/>
    <w:uiPriority w:val="9"/>
    <w:qFormat/>
    <w:rsid w:val="00431F4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1F4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1F4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F4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F43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F43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431F43"/>
  </w:style>
  <w:style w:type="paragraph" w:customStyle="1" w:styleId="headertext">
    <w:name w:val="headertext"/>
    <w:basedOn w:val="a"/>
    <w:rsid w:val="00431F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431F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1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72881" TargetMode="External"/><Relationship Id="rId13" Type="http://schemas.openxmlformats.org/officeDocument/2006/relationships/hyperlink" Target="http://docs.cntd.ru/document/460172881" TargetMode="External"/><Relationship Id="rId18" Type="http://schemas.openxmlformats.org/officeDocument/2006/relationships/hyperlink" Target="http://docs.cntd.ru/document/460172881" TargetMode="External"/><Relationship Id="rId26" Type="http://schemas.openxmlformats.org/officeDocument/2006/relationships/hyperlink" Target="http://docs.cntd.ru/document/446658804" TargetMode="External"/><Relationship Id="rId39" Type="http://schemas.openxmlformats.org/officeDocument/2006/relationships/hyperlink" Target="http://docs.cntd.ru/document/4466588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6658804" TargetMode="External"/><Relationship Id="rId34" Type="http://schemas.openxmlformats.org/officeDocument/2006/relationships/hyperlink" Target="http://docs.cntd.ru/document/4601728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460172881" TargetMode="External"/><Relationship Id="rId12" Type="http://schemas.openxmlformats.org/officeDocument/2006/relationships/hyperlink" Target="http://docs.cntd.ru/document/460172881" TargetMode="External"/><Relationship Id="rId17" Type="http://schemas.openxmlformats.org/officeDocument/2006/relationships/hyperlink" Target="http://docs.cntd.ru/document/446658804" TargetMode="External"/><Relationship Id="rId25" Type="http://schemas.openxmlformats.org/officeDocument/2006/relationships/hyperlink" Target="http://docs.cntd.ru/document/460172881" TargetMode="External"/><Relationship Id="rId33" Type="http://schemas.openxmlformats.org/officeDocument/2006/relationships/hyperlink" Target="http://docs.cntd.ru/document/446658804" TargetMode="External"/><Relationship Id="rId38" Type="http://schemas.openxmlformats.org/officeDocument/2006/relationships/hyperlink" Target="http://docs.cntd.ru/document/4601728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0172881" TargetMode="External"/><Relationship Id="rId20" Type="http://schemas.openxmlformats.org/officeDocument/2006/relationships/hyperlink" Target="http://docs.cntd.ru/document/460172881" TargetMode="External"/><Relationship Id="rId29" Type="http://schemas.openxmlformats.org/officeDocument/2006/relationships/hyperlink" Target="http://docs.cntd.ru/document/460172881" TargetMode="External"/><Relationship Id="rId41" Type="http://schemas.openxmlformats.org/officeDocument/2006/relationships/hyperlink" Target="http://docs.cntd.ru/document/81902798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172881" TargetMode="External"/><Relationship Id="rId11" Type="http://schemas.openxmlformats.org/officeDocument/2006/relationships/hyperlink" Target="http://docs.cntd.ru/document/901714433" TargetMode="External"/><Relationship Id="rId24" Type="http://schemas.openxmlformats.org/officeDocument/2006/relationships/hyperlink" Target="http://docs.cntd.ru/document/460172881" TargetMode="External"/><Relationship Id="rId32" Type="http://schemas.openxmlformats.org/officeDocument/2006/relationships/hyperlink" Target="http://docs.cntd.ru/document/460172881" TargetMode="External"/><Relationship Id="rId37" Type="http://schemas.openxmlformats.org/officeDocument/2006/relationships/hyperlink" Target="http://docs.cntd.ru/document/446658804" TargetMode="External"/><Relationship Id="rId40" Type="http://schemas.openxmlformats.org/officeDocument/2006/relationships/hyperlink" Target="http://docs.cntd.ru/document/446658804" TargetMode="External"/><Relationship Id="rId5" Type="http://schemas.openxmlformats.org/officeDocument/2006/relationships/hyperlink" Target="http://docs.cntd.ru/document/446658804" TargetMode="External"/><Relationship Id="rId15" Type="http://schemas.openxmlformats.org/officeDocument/2006/relationships/hyperlink" Target="http://docs.cntd.ru/document/460172881" TargetMode="External"/><Relationship Id="rId23" Type="http://schemas.openxmlformats.org/officeDocument/2006/relationships/hyperlink" Target="http://docs.cntd.ru/document/446658804" TargetMode="External"/><Relationship Id="rId28" Type="http://schemas.openxmlformats.org/officeDocument/2006/relationships/hyperlink" Target="http://docs.cntd.ru/document/446658804" TargetMode="External"/><Relationship Id="rId36" Type="http://schemas.openxmlformats.org/officeDocument/2006/relationships/hyperlink" Target="http://docs.cntd.ru/document/460172881" TargetMode="External"/><Relationship Id="rId10" Type="http://schemas.openxmlformats.org/officeDocument/2006/relationships/hyperlink" Target="http://docs.cntd.ru/document/460172881" TargetMode="External"/><Relationship Id="rId19" Type="http://schemas.openxmlformats.org/officeDocument/2006/relationships/hyperlink" Target="http://docs.cntd.ru/document/460172881" TargetMode="External"/><Relationship Id="rId31" Type="http://schemas.openxmlformats.org/officeDocument/2006/relationships/hyperlink" Target="http://docs.cntd.ru/document/460172881" TargetMode="External"/><Relationship Id="rId4" Type="http://schemas.openxmlformats.org/officeDocument/2006/relationships/hyperlink" Target="http://docs.cntd.ru/document/460172881" TargetMode="External"/><Relationship Id="rId9" Type="http://schemas.openxmlformats.org/officeDocument/2006/relationships/hyperlink" Target="http://docs.cntd.ru/document/460172881" TargetMode="External"/><Relationship Id="rId14" Type="http://schemas.openxmlformats.org/officeDocument/2006/relationships/hyperlink" Target="http://docs.cntd.ru/document/460172881" TargetMode="External"/><Relationship Id="rId22" Type="http://schemas.openxmlformats.org/officeDocument/2006/relationships/hyperlink" Target="http://docs.cntd.ru/document/460172881" TargetMode="External"/><Relationship Id="rId27" Type="http://schemas.openxmlformats.org/officeDocument/2006/relationships/hyperlink" Target="http://docs.cntd.ru/document/460172881" TargetMode="External"/><Relationship Id="rId30" Type="http://schemas.openxmlformats.org/officeDocument/2006/relationships/hyperlink" Target="http://docs.cntd.ru/document/446658804" TargetMode="External"/><Relationship Id="rId35" Type="http://schemas.openxmlformats.org/officeDocument/2006/relationships/hyperlink" Target="http://docs.cntd.ru/document/46017288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3987</Words>
  <Characters>22729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2019-08-01T08:17:00Z</dcterms:created>
  <dcterms:modified xsi:type="dcterms:W3CDTF">2019-08-01T08:19:00Z</dcterms:modified>
</cp:coreProperties>
</file>